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2"/>
        <w:rPr>
          <w:rFonts w:ascii="Times New Roman"/>
          <w:sz w:val="2"/>
        </w:rPr>
      </w:pPr>
    </w:p>
    <w:tbl>
      <w:tblPr>
        <w:tblW w:w="0" w:type="auto"/>
        <w:jc w:val="left"/>
        <w:tblInd w:w="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480"/>
        <w:gridCol w:w="3853"/>
      </w:tblGrid>
      <w:tr>
        <w:trPr>
          <w:trHeight w:val="3372" w:hRule="atLeast"/>
        </w:trPr>
        <w:tc>
          <w:tcPr>
            <w:tcW w:w="5480" w:type="dxa"/>
          </w:tcPr>
          <w:p>
            <w:pPr>
              <w:pStyle w:val="TableParagraph"/>
              <w:rPr>
                <w:rFonts w:ascii="Times New Roman"/>
                <w:sz w:val="23"/>
              </w:rPr>
            </w:pPr>
          </w:p>
          <w:p>
            <w:pPr>
              <w:pStyle w:val="TableParagraph"/>
              <w:spacing w:before="11"/>
              <w:rPr>
                <w:rFonts w:ascii="Times New Roman"/>
                <w:sz w:val="23"/>
              </w:rPr>
            </w:pPr>
          </w:p>
          <w:p>
            <w:pPr>
              <w:pStyle w:val="TableParagraph"/>
              <w:spacing w:line="276" w:lineRule="auto" w:before="1"/>
              <w:ind w:left="50" w:right="1708"/>
              <w:rPr>
                <w:sz w:val="23"/>
              </w:rPr>
            </w:pPr>
            <w:r>
              <w:rPr>
                <w:sz w:val="23"/>
              </w:rPr>
              <w:t>ΕΛΛΗΝΙΚΗ ΔΗΜΟΚΡΑΤΙΑ ΥΠΟΥΡΓΕΙΟ</w:t>
            </w:r>
            <w:r>
              <w:rPr>
                <w:spacing w:val="-18"/>
                <w:sz w:val="23"/>
              </w:rPr>
              <w:t> </w:t>
            </w:r>
            <w:r>
              <w:rPr>
                <w:sz w:val="23"/>
              </w:rPr>
              <w:t>ΚΛΙΜΑΤΙΚΗΣ</w:t>
            </w:r>
            <w:r>
              <w:rPr>
                <w:spacing w:val="-18"/>
                <w:sz w:val="23"/>
              </w:rPr>
              <w:t> </w:t>
            </w:r>
            <w:r>
              <w:rPr>
                <w:sz w:val="23"/>
              </w:rPr>
              <w:t>ΚΡΙΣΗΣ ΚΑΙ ΠΟΛΙΤΙΚΗΣ ΠΡΟΣΤΑΣΙΑΣ </w:t>
            </w:r>
            <w:r>
              <w:rPr>
                <w:spacing w:val="-2"/>
                <w:sz w:val="23"/>
              </w:rPr>
              <w:t>ΥΦΥΠΟΥΡΓΟΣ</w:t>
            </w:r>
          </w:p>
          <w:p>
            <w:pPr>
              <w:pStyle w:val="TableParagraph"/>
              <w:spacing w:line="276" w:lineRule="auto"/>
              <w:ind w:left="50" w:right="1051"/>
              <w:rPr>
                <w:sz w:val="23"/>
              </w:rPr>
            </w:pPr>
            <w:r>
              <w:rPr>
                <w:sz w:val="23"/>
              </w:rPr>
              <w:t>Ταχ.</w:t>
            </w:r>
            <w:r>
              <w:rPr>
                <w:spacing w:val="-9"/>
                <w:sz w:val="23"/>
              </w:rPr>
              <w:t> </w:t>
            </w:r>
            <w:r>
              <w:rPr>
                <w:sz w:val="23"/>
              </w:rPr>
              <w:t>Διεύθυνση:</w:t>
            </w:r>
            <w:r>
              <w:rPr>
                <w:spacing w:val="-9"/>
                <w:sz w:val="23"/>
              </w:rPr>
              <w:t> </w:t>
            </w:r>
            <w:r>
              <w:rPr>
                <w:sz w:val="23"/>
              </w:rPr>
              <w:t>Λεωφ.</w:t>
            </w:r>
            <w:r>
              <w:rPr>
                <w:spacing w:val="-11"/>
                <w:sz w:val="23"/>
              </w:rPr>
              <w:t> </w:t>
            </w:r>
            <w:r>
              <w:rPr>
                <w:sz w:val="23"/>
              </w:rPr>
              <w:t>Κηφισίας</w:t>
            </w:r>
            <w:r>
              <w:rPr>
                <w:spacing w:val="-11"/>
                <w:sz w:val="23"/>
              </w:rPr>
              <w:t> </w:t>
            </w:r>
            <w:r>
              <w:rPr>
                <w:sz w:val="23"/>
              </w:rPr>
              <w:t>37-39, 151 23, Μαρούσι</w:t>
            </w:r>
          </w:p>
          <w:p>
            <w:pPr>
              <w:pStyle w:val="TableParagraph"/>
              <w:spacing w:line="276" w:lineRule="auto"/>
              <w:ind w:left="50"/>
              <w:rPr>
                <w:sz w:val="23"/>
              </w:rPr>
            </w:pPr>
            <w:r>
              <w:rPr>
                <w:sz w:val="23"/>
              </w:rPr>
              <w:t>Πληροφορίες:</w:t>
            </w:r>
            <w:r>
              <w:rPr>
                <w:spacing w:val="-18"/>
                <w:sz w:val="23"/>
              </w:rPr>
              <w:t> </w:t>
            </w:r>
            <w:r>
              <w:rPr>
                <w:sz w:val="23"/>
              </w:rPr>
              <w:t>Γιαννοπούλου</w:t>
            </w:r>
            <w:r>
              <w:rPr>
                <w:spacing w:val="-18"/>
                <w:sz w:val="23"/>
              </w:rPr>
              <w:t> </w:t>
            </w:r>
            <w:r>
              <w:rPr>
                <w:sz w:val="23"/>
              </w:rPr>
              <w:t>Άλκηστη-Βασιλική Τηλέφωνο: 213 1510 926</w:t>
            </w:r>
          </w:p>
          <w:p>
            <w:pPr>
              <w:pStyle w:val="TableParagraph"/>
              <w:spacing w:line="258" w:lineRule="exact"/>
              <w:ind w:left="50"/>
              <w:rPr>
                <w:sz w:val="23"/>
              </w:rPr>
            </w:pPr>
            <w:r>
              <w:rPr>
                <w:sz w:val="23"/>
              </w:rPr>
              <w:t>Email:</w:t>
            </w:r>
            <w:r>
              <w:rPr>
                <w:spacing w:val="-3"/>
                <w:sz w:val="23"/>
              </w:rPr>
              <w:t> </w:t>
            </w:r>
            <w:hyperlink r:id="rId5">
              <w:r>
                <w:rPr>
                  <w:color w:val="0462C1"/>
                  <w:spacing w:val="-2"/>
                  <w:sz w:val="23"/>
                  <w:u w:val="single" w:color="0462C1"/>
                </w:rPr>
                <w:t>koinel@civilprotection.gr</w:t>
              </w:r>
            </w:hyperlink>
          </w:p>
        </w:tc>
        <w:tc>
          <w:tcPr>
            <w:tcW w:w="3853" w:type="dxa"/>
          </w:tcPr>
          <w:p>
            <w:pPr>
              <w:pStyle w:val="TableParagraph"/>
              <w:ind w:left="626" w:right="2"/>
              <w:jc w:val="center"/>
              <w:rPr>
                <w:sz w:val="23"/>
              </w:rPr>
            </w:pPr>
            <w:r>
              <w:rPr>
                <w:sz w:val="23"/>
              </w:rPr>
              <w:t>Μαρούσι,</w:t>
            </w:r>
            <w:r>
              <w:rPr>
                <w:spacing w:val="-4"/>
                <w:sz w:val="23"/>
              </w:rPr>
              <w:t> </w:t>
            </w:r>
            <w:r>
              <w:rPr>
                <w:sz w:val="23"/>
              </w:rPr>
              <w:t>4</w:t>
            </w:r>
            <w:r>
              <w:rPr>
                <w:spacing w:val="-4"/>
                <w:sz w:val="23"/>
              </w:rPr>
              <w:t> </w:t>
            </w:r>
            <w:r>
              <w:rPr>
                <w:sz w:val="23"/>
              </w:rPr>
              <w:t>Φεβρουαρίου</w:t>
            </w:r>
            <w:r>
              <w:rPr>
                <w:spacing w:val="-3"/>
                <w:sz w:val="23"/>
              </w:rPr>
              <w:t> </w:t>
            </w:r>
            <w:r>
              <w:rPr>
                <w:spacing w:val="-4"/>
                <w:sz w:val="23"/>
              </w:rPr>
              <w:t>2025</w:t>
            </w:r>
          </w:p>
          <w:p>
            <w:pPr>
              <w:pStyle w:val="TableParagraph"/>
              <w:spacing w:before="42"/>
              <w:ind w:left="626" w:right="1"/>
              <w:jc w:val="center"/>
              <w:rPr>
                <w:sz w:val="23"/>
              </w:rPr>
            </w:pPr>
            <w:r>
              <w:rPr>
                <w:sz w:val="23"/>
              </w:rPr>
              <w:t>Αριθ.</w:t>
            </w:r>
            <w:r>
              <w:rPr>
                <w:spacing w:val="-3"/>
                <w:sz w:val="23"/>
              </w:rPr>
              <w:t> </w:t>
            </w:r>
            <w:r>
              <w:rPr>
                <w:sz w:val="23"/>
              </w:rPr>
              <w:t>Πρωτ.: </w:t>
            </w:r>
            <w:r>
              <w:rPr>
                <w:spacing w:val="-5"/>
                <w:sz w:val="23"/>
              </w:rPr>
              <w:t>355</w:t>
            </w:r>
          </w:p>
          <w:p>
            <w:pPr>
              <w:pStyle w:val="TableParagraph"/>
              <w:rPr>
                <w:rFonts w:ascii="Times New Roman"/>
                <w:sz w:val="23"/>
              </w:rPr>
            </w:pPr>
          </w:p>
          <w:p>
            <w:pPr>
              <w:pStyle w:val="TableParagraph"/>
              <w:rPr>
                <w:rFonts w:ascii="Times New Roman"/>
                <w:sz w:val="23"/>
              </w:rPr>
            </w:pPr>
          </w:p>
          <w:p>
            <w:pPr>
              <w:pStyle w:val="TableParagraph"/>
              <w:spacing w:before="208"/>
              <w:rPr>
                <w:rFonts w:ascii="Times New Roman"/>
                <w:sz w:val="23"/>
              </w:rPr>
            </w:pPr>
          </w:p>
          <w:p>
            <w:pPr>
              <w:pStyle w:val="TableParagraph"/>
              <w:ind w:left="626"/>
              <w:jc w:val="center"/>
              <w:rPr>
                <w:sz w:val="23"/>
              </w:rPr>
            </w:pPr>
            <w:r>
              <w:rPr>
                <w:spacing w:val="-2"/>
                <w:sz w:val="23"/>
              </w:rPr>
              <w:t>ΠΡΟΣ:</w:t>
            </w:r>
          </w:p>
          <w:p>
            <w:pPr>
              <w:pStyle w:val="TableParagraph"/>
              <w:spacing w:line="276" w:lineRule="auto" w:before="42"/>
              <w:ind w:left="770" w:firstLine="403"/>
              <w:rPr>
                <w:sz w:val="23"/>
              </w:rPr>
            </w:pPr>
            <w:r>
              <w:rPr>
                <w:sz w:val="23"/>
              </w:rPr>
              <w:t>Βουλή των Ελλήνων/ Διεύθυνση</w:t>
            </w:r>
            <w:r>
              <w:rPr>
                <w:spacing w:val="-18"/>
                <w:sz w:val="23"/>
              </w:rPr>
              <w:t> </w:t>
            </w:r>
            <w:r>
              <w:rPr>
                <w:sz w:val="23"/>
              </w:rPr>
              <w:t>Κοινοβουλευτικού</w:t>
            </w:r>
          </w:p>
          <w:p>
            <w:pPr>
              <w:pStyle w:val="TableParagraph"/>
              <w:ind w:left="626"/>
              <w:jc w:val="center"/>
              <w:rPr>
                <w:sz w:val="23"/>
              </w:rPr>
            </w:pPr>
            <w:r>
              <w:rPr>
                <w:spacing w:val="-2"/>
                <w:sz w:val="23"/>
              </w:rPr>
              <w:t>Ελέγχου/</w:t>
            </w:r>
          </w:p>
          <w:p>
            <w:pPr>
              <w:pStyle w:val="TableParagraph"/>
              <w:spacing w:before="41"/>
              <w:ind w:left="626"/>
              <w:jc w:val="center"/>
              <w:rPr>
                <w:sz w:val="23"/>
              </w:rPr>
            </w:pPr>
            <w:r>
              <w:rPr>
                <w:sz w:val="23"/>
              </w:rPr>
              <w:t>Τμήμα</w:t>
            </w:r>
            <w:r>
              <w:rPr>
                <w:spacing w:val="-3"/>
                <w:sz w:val="23"/>
              </w:rPr>
              <w:t> </w:t>
            </w:r>
            <w:r>
              <w:rPr>
                <w:spacing w:val="-2"/>
                <w:sz w:val="23"/>
              </w:rPr>
              <w:t>Αναφορών</w:t>
            </w:r>
          </w:p>
        </w:tc>
      </w:tr>
    </w:tbl>
    <w:p>
      <w:pPr>
        <w:pStyle w:val="BodyText"/>
        <w:rPr>
          <w:rFonts w:ascii="Times New Roman"/>
          <w:sz w:val="20"/>
        </w:rPr>
      </w:pPr>
    </w:p>
    <w:p>
      <w:pPr>
        <w:pStyle w:val="BodyText"/>
        <w:rPr>
          <w:rFonts w:ascii="Times New Roman"/>
          <w:sz w:val="20"/>
        </w:rPr>
      </w:pPr>
    </w:p>
    <w:p>
      <w:pPr>
        <w:pStyle w:val="BodyText"/>
        <w:spacing w:before="74"/>
        <w:rPr>
          <w:rFonts w:ascii="Times New Roman"/>
          <w:sz w:val="20"/>
        </w:rPr>
      </w:pPr>
    </w:p>
    <w:tbl>
      <w:tblPr>
        <w:tblW w:w="0" w:type="auto"/>
        <w:jc w:val="left"/>
        <w:tblInd w:w="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8"/>
        <w:gridCol w:w="5109"/>
      </w:tblGrid>
      <w:tr>
        <w:trPr>
          <w:trHeight w:val="332" w:hRule="atLeast"/>
        </w:trPr>
        <w:tc>
          <w:tcPr>
            <w:tcW w:w="848" w:type="dxa"/>
          </w:tcPr>
          <w:p>
            <w:pPr>
              <w:pStyle w:val="TableParagraph"/>
              <w:ind w:right="55"/>
              <w:jc w:val="center"/>
              <w:rPr>
                <w:sz w:val="23"/>
              </w:rPr>
            </w:pPr>
            <w:r>
              <w:rPr>
                <w:spacing w:val="-2"/>
                <w:sz w:val="23"/>
              </w:rPr>
              <w:t>ΘΕΜΑ:</w:t>
            </w:r>
          </w:p>
        </w:tc>
        <w:tc>
          <w:tcPr>
            <w:tcW w:w="5109" w:type="dxa"/>
          </w:tcPr>
          <w:p>
            <w:pPr>
              <w:pStyle w:val="TableParagraph"/>
              <w:ind w:left="106"/>
              <w:rPr>
                <w:sz w:val="23"/>
              </w:rPr>
            </w:pPr>
            <w:r>
              <w:rPr>
                <w:sz w:val="23"/>
              </w:rPr>
              <w:t>«Απάντηση</w:t>
            </w:r>
            <w:r>
              <w:rPr>
                <w:spacing w:val="-6"/>
                <w:sz w:val="23"/>
              </w:rPr>
              <w:t> </w:t>
            </w:r>
            <w:r>
              <w:rPr>
                <w:sz w:val="23"/>
              </w:rPr>
              <w:t>σε</w:t>
            </w:r>
            <w:r>
              <w:rPr>
                <w:spacing w:val="-6"/>
                <w:sz w:val="23"/>
              </w:rPr>
              <w:t> </w:t>
            </w:r>
            <w:r>
              <w:rPr>
                <w:sz w:val="23"/>
              </w:rPr>
              <w:t>μέσο</w:t>
            </w:r>
            <w:r>
              <w:rPr>
                <w:spacing w:val="-7"/>
                <w:sz w:val="23"/>
              </w:rPr>
              <w:t> </w:t>
            </w:r>
            <w:r>
              <w:rPr>
                <w:sz w:val="23"/>
              </w:rPr>
              <w:t>κοινοβουλευτικού</w:t>
            </w:r>
            <w:r>
              <w:rPr>
                <w:spacing w:val="-5"/>
                <w:sz w:val="23"/>
              </w:rPr>
              <w:t> </w:t>
            </w:r>
            <w:r>
              <w:rPr>
                <w:spacing w:val="-2"/>
                <w:sz w:val="23"/>
              </w:rPr>
              <w:t>ελέγχου».</w:t>
            </w:r>
          </w:p>
        </w:tc>
      </w:tr>
      <w:tr>
        <w:trPr>
          <w:trHeight w:val="332" w:hRule="atLeast"/>
        </w:trPr>
        <w:tc>
          <w:tcPr>
            <w:tcW w:w="848" w:type="dxa"/>
          </w:tcPr>
          <w:p>
            <w:pPr>
              <w:pStyle w:val="TableParagraph"/>
              <w:spacing w:line="258" w:lineRule="exact" w:before="54"/>
              <w:ind w:right="138"/>
              <w:jc w:val="center"/>
              <w:rPr>
                <w:sz w:val="23"/>
              </w:rPr>
            </w:pPr>
            <w:r>
              <w:rPr>
                <w:spacing w:val="-2"/>
                <w:sz w:val="23"/>
              </w:rPr>
              <w:t>ΣΧΕΤ:</w:t>
            </w:r>
          </w:p>
        </w:tc>
        <w:tc>
          <w:tcPr>
            <w:tcW w:w="5109" w:type="dxa"/>
          </w:tcPr>
          <w:p>
            <w:pPr>
              <w:pStyle w:val="TableParagraph"/>
              <w:spacing w:line="258" w:lineRule="exact" w:before="54"/>
              <w:ind w:left="106"/>
              <w:rPr>
                <w:sz w:val="23"/>
              </w:rPr>
            </w:pPr>
            <w:r>
              <w:rPr>
                <w:sz w:val="23"/>
              </w:rPr>
              <w:t>Η</w:t>
            </w:r>
            <w:r>
              <w:rPr>
                <w:spacing w:val="-3"/>
                <w:sz w:val="23"/>
              </w:rPr>
              <w:t> </w:t>
            </w:r>
            <w:r>
              <w:rPr>
                <w:sz w:val="23"/>
              </w:rPr>
              <w:t>υπ’</w:t>
            </w:r>
            <w:r>
              <w:rPr>
                <w:spacing w:val="-2"/>
                <w:sz w:val="23"/>
              </w:rPr>
              <w:t> </w:t>
            </w:r>
            <w:r>
              <w:rPr>
                <w:sz w:val="23"/>
              </w:rPr>
              <w:t>αριθ.</w:t>
            </w:r>
            <w:r>
              <w:rPr>
                <w:spacing w:val="-3"/>
                <w:sz w:val="23"/>
              </w:rPr>
              <w:t> </w:t>
            </w:r>
            <w:r>
              <w:rPr>
                <w:sz w:val="23"/>
              </w:rPr>
              <w:t>715/</w:t>
            </w:r>
            <w:r>
              <w:rPr>
                <w:spacing w:val="-2"/>
                <w:sz w:val="23"/>
              </w:rPr>
              <w:t> </w:t>
            </w:r>
            <w:r>
              <w:rPr>
                <w:sz w:val="23"/>
              </w:rPr>
              <w:t>10.01.2025</w:t>
            </w:r>
            <w:r>
              <w:rPr>
                <w:spacing w:val="-2"/>
                <w:sz w:val="23"/>
              </w:rPr>
              <w:t> Αναφορά.</w:t>
            </w:r>
          </w:p>
        </w:tc>
      </w:tr>
    </w:tbl>
    <w:p>
      <w:pPr>
        <w:pStyle w:val="BodyText"/>
        <w:spacing w:before="228"/>
        <w:rPr>
          <w:rFonts w:ascii="Times New Roman"/>
        </w:rPr>
      </w:pPr>
    </w:p>
    <w:p>
      <w:pPr>
        <w:pStyle w:val="BodyText"/>
        <w:spacing w:line="273" w:lineRule="auto"/>
        <w:ind w:left="247" w:right="217"/>
        <w:jc w:val="both"/>
      </w:pPr>
      <w:r>
        <w:rPr/>
        <w:t>Σε απάντηση του ανωτέρω μέσου κοινοβουλευτικού ελέγχου, το οποίο κατέθεσε στη Βουλή των Ελλήνων ο Βουλευτής κ. Παρασκευαϊδης Παναγιώτης, με θέμα: «</w:t>
      </w:r>
      <w:r>
        <w:rPr>
          <w:sz w:val="23"/>
        </w:rPr>
        <w:t>Αίτημα παράτασης οικοδομικών αδειών αποκατάστασης σεισμόπληκτων κτιρίων από τον καταστροφικό σεισμό του 2017</w:t>
      </w:r>
      <w:r>
        <w:rPr/>
        <w:t>», σας γνωρίζουμε, στο βαθμό</w:t>
      </w:r>
      <w:r>
        <w:rPr>
          <w:spacing w:val="-3"/>
        </w:rPr>
        <w:t> </w:t>
      </w:r>
      <w:r>
        <w:rPr/>
        <w:t>που</w:t>
      </w:r>
      <w:r>
        <w:rPr>
          <w:spacing w:val="-1"/>
        </w:rPr>
        <w:t> </w:t>
      </w:r>
      <w:r>
        <w:rPr/>
        <w:t>εμπίπτουν</w:t>
      </w:r>
      <w:r>
        <w:rPr>
          <w:spacing w:val="-3"/>
        </w:rPr>
        <w:t> </w:t>
      </w:r>
      <w:r>
        <w:rPr/>
        <w:t>στις</w:t>
      </w:r>
      <w:r>
        <w:rPr>
          <w:spacing w:val="-3"/>
        </w:rPr>
        <w:t> </w:t>
      </w:r>
      <w:r>
        <w:rPr/>
        <w:t>αρμοδιότητες της</w:t>
      </w:r>
      <w:r>
        <w:rPr>
          <w:spacing w:val="-2"/>
        </w:rPr>
        <w:t> </w:t>
      </w:r>
      <w:r>
        <w:rPr/>
        <w:t>Γενικής Γραμματείας</w:t>
      </w:r>
      <w:r>
        <w:rPr>
          <w:spacing w:val="-2"/>
        </w:rPr>
        <w:t> </w:t>
      </w:r>
      <w:r>
        <w:rPr/>
        <w:t>Αποκατάστασης Φυσικών</w:t>
      </w:r>
      <w:r>
        <w:rPr>
          <w:spacing w:val="-2"/>
        </w:rPr>
        <w:t> </w:t>
      </w:r>
      <w:r>
        <w:rPr/>
        <w:t>Καταστροφών</w:t>
      </w:r>
      <w:r>
        <w:rPr>
          <w:spacing w:val="-2"/>
        </w:rPr>
        <w:t> </w:t>
      </w:r>
      <w:r>
        <w:rPr/>
        <w:t>και Κρατικής</w:t>
      </w:r>
      <w:r>
        <w:rPr>
          <w:spacing w:val="-2"/>
        </w:rPr>
        <w:t> </w:t>
      </w:r>
      <w:r>
        <w:rPr/>
        <w:t>Αρωγής, πως προκειμένου</w:t>
      </w:r>
      <w:r>
        <w:rPr>
          <w:spacing w:val="-2"/>
        </w:rPr>
        <w:t> </w:t>
      </w:r>
      <w:r>
        <w:rPr/>
        <w:t>να αποκατασταθούν οι</w:t>
      </w:r>
      <w:r>
        <w:rPr>
          <w:spacing w:val="-3"/>
        </w:rPr>
        <w:t> </w:t>
      </w:r>
      <w:r>
        <w:rPr/>
        <w:t>βλάβες</w:t>
      </w:r>
      <w:r>
        <w:rPr>
          <w:spacing w:val="-2"/>
        </w:rPr>
        <w:t> </w:t>
      </w:r>
      <w:r>
        <w:rPr/>
        <w:t>που έχουν προκληθεί στα κτίρια από αυτόν τον σεισμό, συντάσσεται σχέδιο </w:t>
      </w:r>
      <w:r>
        <w:rPr>
          <w:sz w:val="23"/>
        </w:rPr>
        <w:t>Υ.Α. </w:t>
      </w:r>
      <w:r>
        <w:rPr/>
        <w:t>χορήγησης νέας παράτασης της ισχύος των αδειών επισκευής των κτηρίων που έχουν πληγεί από τον σεισμό της 12.06.2017 σε περιοχές της Περιφερειακής Ενότητας Λέσβου της Περιφέρειας Βορείου Αιγαίου, λαμβάνοντας υπόψη τα κάτωθι:</w:t>
      </w:r>
    </w:p>
    <w:p>
      <w:pPr>
        <w:pStyle w:val="ListParagraph"/>
        <w:numPr>
          <w:ilvl w:val="0"/>
          <w:numId w:val="1"/>
        </w:numPr>
        <w:tabs>
          <w:tab w:pos="599" w:val="left" w:leader="none"/>
        </w:tabs>
        <w:spacing w:line="276" w:lineRule="auto" w:before="116" w:after="0"/>
        <w:ind w:left="247" w:right="223" w:firstLine="0"/>
        <w:jc w:val="both"/>
        <w:rPr>
          <w:sz w:val="22"/>
        </w:rPr>
      </w:pPr>
      <w:r>
        <w:rPr>
          <w:sz w:val="22"/>
        </w:rPr>
        <w:t>οι αιτήσεις κατάθεσης των απαραίτητων δικαιολογητικών για χορήγηση των δόσεων της στεγαστικής συνδρομής και για έκδοση βεβαίωσης περαίωσης εργασιών υποβάλλονται, σε κάθε περίπτωση, εντός του χρόνου ισχύος των σχετικών Αδειών Επισκευής,</w:t>
      </w:r>
    </w:p>
    <w:p>
      <w:pPr>
        <w:pStyle w:val="ListParagraph"/>
        <w:numPr>
          <w:ilvl w:val="0"/>
          <w:numId w:val="1"/>
        </w:numPr>
        <w:tabs>
          <w:tab w:pos="529" w:val="left" w:leader="none"/>
        </w:tabs>
        <w:spacing w:line="276" w:lineRule="auto" w:before="116" w:after="0"/>
        <w:ind w:left="247" w:right="219" w:firstLine="0"/>
        <w:jc w:val="both"/>
        <w:rPr>
          <w:sz w:val="22"/>
        </w:rPr>
      </w:pPr>
      <w:r>
        <w:rPr>
          <w:sz w:val="22"/>
        </w:rPr>
        <w:t>η μη εκπλήρωση των υποχρεώσεων που αναλαμβάνουν οι ενδιαφερόμενοι πολίτες με την έκδοση των σχετικών Αδειών Επισκευής και τον ορισμό τους ως δικαιούχων στεγαστικής συνδρομής, ήτοι της ολοκλήρωσης των εγκεκριμένων εργασιών εντός του χρόνου ισχύος αυτών, επιφέρει την επιβολή</w:t>
      </w:r>
      <w:r>
        <w:rPr>
          <w:spacing w:val="-1"/>
          <w:sz w:val="22"/>
        </w:rPr>
        <w:t> </w:t>
      </w:r>
      <w:r>
        <w:rPr>
          <w:sz w:val="22"/>
        </w:rPr>
        <w:t>κυρώσεων, όπως αυτές ορίζονται</w:t>
      </w:r>
      <w:r>
        <w:rPr>
          <w:spacing w:val="-1"/>
          <w:sz w:val="22"/>
        </w:rPr>
        <w:t> </w:t>
      </w:r>
      <w:r>
        <w:rPr>
          <w:sz w:val="22"/>
        </w:rPr>
        <w:t>στη</w:t>
      </w:r>
      <w:r>
        <w:rPr>
          <w:spacing w:val="-1"/>
          <w:sz w:val="22"/>
        </w:rPr>
        <w:t> </w:t>
      </w:r>
      <w:r>
        <w:rPr>
          <w:sz w:val="22"/>
        </w:rPr>
        <w:t>σχετική </w:t>
      </w:r>
      <w:r>
        <w:rPr>
          <w:sz w:val="23"/>
        </w:rPr>
        <w:t>Κ.Υ.Α. </w:t>
      </w:r>
      <w:r>
        <w:rPr>
          <w:sz w:val="22"/>
        </w:rPr>
        <w:t>χορήγησης στεγαστικής συνδρομής, και τέλος</w:t>
      </w:r>
    </w:p>
    <w:p>
      <w:pPr>
        <w:pStyle w:val="ListParagraph"/>
        <w:numPr>
          <w:ilvl w:val="0"/>
          <w:numId w:val="1"/>
        </w:numPr>
        <w:tabs>
          <w:tab w:pos="529" w:val="left" w:leader="none"/>
        </w:tabs>
        <w:spacing w:line="276" w:lineRule="auto" w:before="116" w:after="0"/>
        <w:ind w:left="247" w:right="217" w:firstLine="0"/>
        <w:jc w:val="both"/>
        <w:rPr>
          <w:sz w:val="22"/>
        </w:rPr>
      </w:pPr>
      <w:r>
        <w:rPr>
          <w:sz w:val="22"/>
        </w:rPr>
        <w:t>οι εργασίες επισκευής πολλών κτιρίων που έχουν πληγεί από τον σεισμό της 12.06.2017 σε περιοχές της Περιφερειακής Ενότητας Λέσβου της Περιφέρειας Βορείου Αιγαίου δεν έχουν </w:t>
      </w:r>
      <w:r>
        <w:rPr>
          <w:spacing w:val="-2"/>
          <w:sz w:val="22"/>
        </w:rPr>
        <w:t>ολοκληρωθεί.</w:t>
      </w:r>
    </w:p>
    <w:p>
      <w:pPr>
        <w:pStyle w:val="Title"/>
        <w:spacing w:before="120"/>
        <w:ind w:right="2444" w:firstLine="0"/>
        <w:jc w:val="right"/>
      </w:pPr>
      <w:r>
        <w:rPr/>
        <w:t>-</w:t>
      </w:r>
      <w:r>
        <w:rPr>
          <w:spacing w:val="-5"/>
        </w:rPr>
        <w:t>Ο-</w:t>
      </w:r>
    </w:p>
    <w:p>
      <w:pPr>
        <w:pStyle w:val="Title"/>
        <w:spacing w:line="276" w:lineRule="auto"/>
        <w:ind w:left="6205"/>
      </w:pPr>
      <w:r>
        <w:rPr/>
        <w:t>Υφυπουργός</w:t>
      </w:r>
      <w:r>
        <w:rPr>
          <w:spacing w:val="-18"/>
        </w:rPr>
        <w:t> </w:t>
      </w:r>
      <w:r>
        <w:rPr/>
        <w:t>Κλιματικής</w:t>
      </w:r>
      <w:r>
        <w:rPr>
          <w:spacing w:val="-18"/>
        </w:rPr>
        <w:t> </w:t>
      </w:r>
      <w:r>
        <w:rPr/>
        <w:t>Κρίσης και Πολιτικής Προστασίας ΧΡΗΣΤΟΣ ΤΡΙΑΝΤΟΠΟΥΛΟΣ</w:t>
      </w:r>
    </w:p>
    <w:p>
      <w:pPr>
        <w:pStyle w:val="BodyText"/>
        <w:spacing w:before="152"/>
        <w:rPr>
          <w:sz w:val="20"/>
        </w:rPr>
      </w:pPr>
      <w:r>
        <w:rPr>
          <w:sz w:val="20"/>
        </w:rPr>
        <w:drawing>
          <wp:anchor distT="0" distB="0" distL="0" distR="0" allowOverlap="1" layoutInCell="1" locked="0" behindDoc="1" simplePos="0" relativeHeight="487587840">
            <wp:simplePos x="0" y="0"/>
            <wp:positionH relativeFrom="page">
              <wp:posOffset>2336800</wp:posOffset>
            </wp:positionH>
            <wp:positionV relativeFrom="paragraph">
              <wp:posOffset>265598</wp:posOffset>
            </wp:positionV>
            <wp:extent cx="1349788" cy="592074"/>
            <wp:effectExtent l="0" t="0" r="0" b="0"/>
            <wp:wrapTopAndBottom/>
            <wp:docPr id="1" name="Image 1"/>
            <wp:cNvGraphicFramePr>
              <a:graphicFrameLocks/>
            </wp:cNvGraphicFramePr>
            <a:graphic>
              <a:graphicData uri="http://schemas.openxmlformats.org/drawingml/2006/picture">
                <pic:pic>
                  <pic:nvPicPr>
                    <pic:cNvPr id="1" name="Image 1"/>
                    <pic:cNvPicPr/>
                  </pic:nvPicPr>
                  <pic:blipFill>
                    <a:blip r:embed="rId6" cstate="print"/>
                    <a:stretch>
                      <a:fillRect/>
                    </a:stretch>
                  </pic:blipFill>
                  <pic:spPr>
                    <a:xfrm>
                      <a:off x="0" y="0"/>
                      <a:ext cx="1349788" cy="592074"/>
                    </a:xfrm>
                    <a:prstGeom prst="rect">
                      <a:avLst/>
                    </a:prstGeom>
                  </pic:spPr>
                </pic:pic>
              </a:graphicData>
            </a:graphic>
          </wp:anchor>
        </w:drawing>
      </w:r>
    </w:p>
    <w:sectPr>
      <w:type w:val="continuous"/>
      <w:pgSz w:w="12240" w:h="15840"/>
      <w:pgMar w:top="980" w:bottom="0" w:left="10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Symbol">
    <w:altName w:val="Symbol"/>
    <w:charset w:val="2"/>
    <w:family w:val="decorative"/>
    <w:pitch w:val="variable"/>
  </w:font>
  <w:font w:name="Tahoma">
    <w:altName w:val="Tahoma"/>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247" w:hanging="353"/>
      </w:pPr>
      <w:rPr>
        <w:rFonts w:hint="default" w:ascii="Symbol" w:hAnsi="Symbol" w:eastAsia="Symbol" w:cs="Symbol"/>
        <w:b w:val="0"/>
        <w:bCs w:val="0"/>
        <w:i w:val="0"/>
        <w:iCs w:val="0"/>
        <w:spacing w:val="0"/>
        <w:w w:val="100"/>
        <w:sz w:val="22"/>
        <w:szCs w:val="22"/>
        <w:lang w:val="el-GR" w:eastAsia="en-US" w:bidi="ar-SA"/>
      </w:rPr>
    </w:lvl>
    <w:lvl w:ilvl="1">
      <w:start w:val="0"/>
      <w:numFmt w:val="bullet"/>
      <w:lvlText w:val="•"/>
      <w:lvlJc w:val="left"/>
      <w:pPr>
        <w:ind w:left="1224" w:hanging="353"/>
      </w:pPr>
      <w:rPr>
        <w:rFonts w:hint="default"/>
        <w:lang w:val="el-GR" w:eastAsia="en-US" w:bidi="ar-SA"/>
      </w:rPr>
    </w:lvl>
    <w:lvl w:ilvl="2">
      <w:start w:val="0"/>
      <w:numFmt w:val="bullet"/>
      <w:lvlText w:val="•"/>
      <w:lvlJc w:val="left"/>
      <w:pPr>
        <w:ind w:left="2208" w:hanging="353"/>
      </w:pPr>
      <w:rPr>
        <w:rFonts w:hint="default"/>
        <w:lang w:val="el-GR" w:eastAsia="en-US" w:bidi="ar-SA"/>
      </w:rPr>
    </w:lvl>
    <w:lvl w:ilvl="3">
      <w:start w:val="0"/>
      <w:numFmt w:val="bullet"/>
      <w:lvlText w:val="•"/>
      <w:lvlJc w:val="left"/>
      <w:pPr>
        <w:ind w:left="3192" w:hanging="353"/>
      </w:pPr>
      <w:rPr>
        <w:rFonts w:hint="default"/>
        <w:lang w:val="el-GR" w:eastAsia="en-US" w:bidi="ar-SA"/>
      </w:rPr>
    </w:lvl>
    <w:lvl w:ilvl="4">
      <w:start w:val="0"/>
      <w:numFmt w:val="bullet"/>
      <w:lvlText w:val="•"/>
      <w:lvlJc w:val="left"/>
      <w:pPr>
        <w:ind w:left="4176" w:hanging="353"/>
      </w:pPr>
      <w:rPr>
        <w:rFonts w:hint="default"/>
        <w:lang w:val="el-GR" w:eastAsia="en-US" w:bidi="ar-SA"/>
      </w:rPr>
    </w:lvl>
    <w:lvl w:ilvl="5">
      <w:start w:val="0"/>
      <w:numFmt w:val="bullet"/>
      <w:lvlText w:val="•"/>
      <w:lvlJc w:val="left"/>
      <w:pPr>
        <w:ind w:left="5160" w:hanging="353"/>
      </w:pPr>
      <w:rPr>
        <w:rFonts w:hint="default"/>
        <w:lang w:val="el-GR" w:eastAsia="en-US" w:bidi="ar-SA"/>
      </w:rPr>
    </w:lvl>
    <w:lvl w:ilvl="6">
      <w:start w:val="0"/>
      <w:numFmt w:val="bullet"/>
      <w:lvlText w:val="•"/>
      <w:lvlJc w:val="left"/>
      <w:pPr>
        <w:ind w:left="6144" w:hanging="353"/>
      </w:pPr>
      <w:rPr>
        <w:rFonts w:hint="default"/>
        <w:lang w:val="el-GR" w:eastAsia="en-US" w:bidi="ar-SA"/>
      </w:rPr>
    </w:lvl>
    <w:lvl w:ilvl="7">
      <w:start w:val="0"/>
      <w:numFmt w:val="bullet"/>
      <w:lvlText w:val="•"/>
      <w:lvlJc w:val="left"/>
      <w:pPr>
        <w:ind w:left="7128" w:hanging="353"/>
      </w:pPr>
      <w:rPr>
        <w:rFonts w:hint="default"/>
        <w:lang w:val="el-GR" w:eastAsia="en-US" w:bidi="ar-SA"/>
      </w:rPr>
    </w:lvl>
    <w:lvl w:ilvl="8">
      <w:start w:val="0"/>
      <w:numFmt w:val="bullet"/>
      <w:lvlText w:val="•"/>
      <w:lvlJc w:val="left"/>
      <w:pPr>
        <w:ind w:left="8112" w:hanging="353"/>
      </w:pPr>
      <w:rPr>
        <w:rFonts w:hint="default"/>
        <w:lang w:val="el-GR"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ahoma" w:hAnsi="Tahoma" w:eastAsia="Tahoma" w:cs="Tahoma"/>
      <w:lang w:val="el-GR" w:eastAsia="en-US" w:bidi="ar-SA"/>
    </w:rPr>
  </w:style>
  <w:style w:styleId="BodyText" w:type="paragraph">
    <w:name w:val="Body Text"/>
    <w:basedOn w:val="Normal"/>
    <w:uiPriority w:val="1"/>
    <w:qFormat/>
    <w:pPr/>
    <w:rPr>
      <w:rFonts w:ascii="Tahoma" w:hAnsi="Tahoma" w:eastAsia="Tahoma" w:cs="Tahoma"/>
      <w:sz w:val="22"/>
      <w:szCs w:val="22"/>
      <w:lang w:val="el-GR" w:eastAsia="en-US" w:bidi="ar-SA"/>
    </w:rPr>
  </w:style>
  <w:style w:styleId="Title" w:type="paragraph">
    <w:name w:val="Title"/>
    <w:basedOn w:val="Normal"/>
    <w:uiPriority w:val="1"/>
    <w:qFormat/>
    <w:pPr>
      <w:spacing w:before="41"/>
      <w:ind w:right="705" w:hanging="221"/>
    </w:pPr>
    <w:rPr>
      <w:rFonts w:ascii="Tahoma" w:hAnsi="Tahoma" w:eastAsia="Tahoma" w:cs="Tahoma"/>
      <w:sz w:val="23"/>
      <w:szCs w:val="23"/>
      <w:lang w:val="el-GR" w:eastAsia="en-US" w:bidi="ar-SA"/>
    </w:rPr>
  </w:style>
  <w:style w:styleId="ListParagraph" w:type="paragraph">
    <w:name w:val="List Paragraph"/>
    <w:basedOn w:val="Normal"/>
    <w:uiPriority w:val="1"/>
    <w:qFormat/>
    <w:pPr>
      <w:spacing w:before="116"/>
      <w:ind w:left="247" w:right="217"/>
      <w:jc w:val="both"/>
    </w:pPr>
    <w:rPr>
      <w:rFonts w:ascii="Tahoma" w:hAnsi="Tahoma" w:eastAsia="Tahoma" w:cs="Tahoma"/>
      <w:lang w:val="el-GR" w:eastAsia="en-US" w:bidi="ar-SA"/>
    </w:rPr>
  </w:style>
  <w:style w:styleId="TableParagraph" w:type="paragraph">
    <w:name w:val="Table Paragraph"/>
    <w:basedOn w:val="Normal"/>
    <w:uiPriority w:val="1"/>
    <w:qFormat/>
    <w:pPr/>
    <w:rPr>
      <w:rFonts w:ascii="Tahoma" w:hAnsi="Tahoma" w:eastAsia="Tahoma" w:cs="Tahoma"/>
      <w:lang w:val="el-G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koinel@civilprotection.gr" TargetMode="External"/><Relationship Id="rId6" Type="http://schemas.openxmlformats.org/officeDocument/2006/relationships/image" Target="media/image1.pn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erapti</dc:creator>
  <dcterms:created xsi:type="dcterms:W3CDTF">2025-02-05T09:31:13Z</dcterms:created>
  <dcterms:modified xsi:type="dcterms:W3CDTF">2025-02-05T09:31:13Z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2025-02-04T00:00:00Z</vt:filetime>
  </property>
  <property fmtid="{D5CDD505-2E9C-101B-9397-08002B2CF9AE}" pid="3" name="Creator">
    <vt:lpwstr>Microsoft® Word για το Microsoft 365</vt:lpwstr>
  </property>
  <property fmtid="{D5CDD505-2E9C-101B-9397-08002B2CF9AE}" pid="4" name="LastSaved">
    <vt:filetime>2025-02-05T00:00:00Z</vt:filetime>
  </property>
  <property fmtid="{D5CDD505-2E9C-101B-9397-08002B2CF9AE}" pid="5" name="Producer">
    <vt:lpwstr>Microsoft® Word για το Microsoft 365</vt:lpwstr>
  </property>
</Properties>
</file>